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C1C17" w:rsidRDefault="000D2FFC" w14:paraId="7DFB992B" w14:textId="7CE98B39">
      <w:pPr>
        <w:rPr>
          <w:color w:val="1F4E79" w:themeColor="accent1" w:themeShade="80"/>
        </w:rPr>
      </w:pPr>
      <w:r>
        <w:rPr>
          <w:noProof/>
          <w:color w:val="1F4E79" w:themeColor="accent1" w:themeShade="80"/>
          <w:lang w:eastAsia="en-GB"/>
        </w:rPr>
        <w:drawing>
          <wp:inline distT="0" distB="0" distL="0" distR="0" wp14:anchorId="00F7652E" wp14:editId="2DF13DF3">
            <wp:extent cx="2095500" cy="883582"/>
            <wp:effectExtent l="0" t="0" r="0" b="0"/>
            <wp:docPr id="1" name="Picture 1" descr="\\dldafs01\stafffolders$\Valerie.Stewart\Desktop\v2 gre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dafs01\stafffolders$\Valerie.Stewart\Desktop\v2 grey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7613" cy="892906"/>
                    </a:xfrm>
                    <a:prstGeom prst="rect">
                      <a:avLst/>
                    </a:prstGeom>
                    <a:noFill/>
                    <a:ln>
                      <a:noFill/>
                    </a:ln>
                  </pic:spPr>
                </pic:pic>
              </a:graphicData>
            </a:graphic>
          </wp:inline>
        </w:drawing>
      </w:r>
      <w:r>
        <w:rPr>
          <w:color w:val="1F4E79" w:themeColor="accent1" w:themeShade="80"/>
        </w:rPr>
        <w:tab/>
      </w:r>
      <w:r>
        <w:rPr>
          <w:color w:val="1F4E79" w:themeColor="accent1" w:themeShade="80"/>
        </w:rPr>
        <w:tab/>
      </w:r>
      <w:r>
        <w:rPr>
          <w:color w:val="1F4E79" w:themeColor="accent1" w:themeShade="80"/>
        </w:rPr>
        <w:tab/>
      </w:r>
      <w:r>
        <w:rPr>
          <w:color w:val="1F4E79" w:themeColor="accent1" w:themeShade="80"/>
        </w:rPr>
        <w:tab/>
      </w:r>
      <w:r>
        <w:rPr>
          <w:color w:val="1F4E79" w:themeColor="accent1" w:themeShade="80"/>
        </w:rPr>
        <w:tab/>
      </w:r>
      <w:r w:rsidR="00841639">
        <w:rPr>
          <w:noProof/>
        </w:rPr>
        <w:drawing>
          <wp:anchor distT="0" distB="0" distL="114300" distR="114300" simplePos="0" relativeHeight="251658240" behindDoc="0" locked="0" layoutInCell="1" allowOverlap="1" wp14:anchorId="268EFF0C" wp14:editId="73B98F33">
            <wp:simplePos x="1371600" y="1819275"/>
            <wp:positionH relativeFrom="margin">
              <wp:align>right</wp:align>
            </wp:positionH>
            <wp:positionV relativeFrom="margin">
              <wp:align>top</wp:align>
            </wp:positionV>
            <wp:extent cx="2181225" cy="856615"/>
            <wp:effectExtent l="0" t="0" r="9525" b="635"/>
            <wp:wrapSquare wrapText="bothSides"/>
            <wp:docPr id="1770381779" name="Picture 1" descr="A white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81779" name="Picture 1" descr="A white and brown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225" cy="856615"/>
                    </a:xfrm>
                    <a:prstGeom prst="rect">
                      <a:avLst/>
                    </a:prstGeom>
                    <a:noFill/>
                    <a:ln>
                      <a:noFill/>
                    </a:ln>
                  </pic:spPr>
                </pic:pic>
              </a:graphicData>
            </a:graphic>
          </wp:anchor>
        </w:drawing>
      </w:r>
    </w:p>
    <w:p w:rsidR="003C1C17" w:rsidRDefault="003C1C17" w14:paraId="38300B9F" w14:textId="77777777">
      <w:pPr>
        <w:jc w:val="center"/>
      </w:pPr>
    </w:p>
    <w:p w:rsidR="003C1C17" w:rsidRDefault="003C1C17" w14:paraId="263A9620" w14:textId="77777777">
      <w:pPr>
        <w:jc w:val="center"/>
      </w:pPr>
    </w:p>
    <w:p w:rsidR="003C1C17" w:rsidRDefault="003C1C17" w14:paraId="309E086B" w14:textId="77777777">
      <w:pPr>
        <w:jc w:val="center"/>
      </w:pPr>
    </w:p>
    <w:p w:rsidR="003C1C17" w:rsidRDefault="000D2FFC" w14:paraId="39B5AC97" w14:textId="77777777">
      <w:pPr>
        <w:jc w:val="center"/>
        <w:rPr>
          <w:b/>
          <w:sz w:val="28"/>
          <w:szCs w:val="28"/>
        </w:rPr>
      </w:pPr>
      <w:r>
        <w:rPr>
          <w:b/>
          <w:sz w:val="28"/>
          <w:szCs w:val="28"/>
        </w:rPr>
        <w:t xml:space="preserve">EAL/ Academic English Policy </w:t>
      </w:r>
    </w:p>
    <w:p w:rsidR="003C1C17" w:rsidRDefault="003C1C17" w14:paraId="09AAEDC8" w14:textId="77777777"/>
    <w:p w:rsidR="003C1C17" w:rsidRDefault="000D2FFC" w14:paraId="7D70CBB9" w14:textId="77777777">
      <w:pPr>
        <w:pBdr>
          <w:top w:val="single" w:color="auto" w:sz="4" w:space="1"/>
          <w:left w:val="single" w:color="auto" w:sz="4" w:space="4"/>
          <w:bottom w:val="single" w:color="auto" w:sz="4" w:space="1"/>
          <w:right w:val="single" w:color="auto" w:sz="4" w:space="4"/>
        </w:pBdr>
        <w:rPr>
          <w:sz w:val="24"/>
        </w:rPr>
      </w:pPr>
      <w:r>
        <w:rPr>
          <w:b/>
          <w:sz w:val="24"/>
        </w:rPr>
        <w:t>Primary person responsible for updates to this policy:</w:t>
      </w:r>
      <w:r>
        <w:rPr>
          <w:sz w:val="24"/>
        </w:rPr>
        <w:t xml:space="preserve"> </w:t>
      </w:r>
      <w:r>
        <w:rPr>
          <w:rFonts w:ascii="Calibri" w:hAnsi="Calibri" w:eastAsia="Times New Roman" w:cs="Arial"/>
          <w:color w:val="323E4F" w:themeColor="text2" w:themeShade="BF"/>
          <w:lang w:eastAsia="en-GB"/>
        </w:rPr>
        <w:t xml:space="preserve">Christalla Mavroudis </w:t>
      </w:r>
    </w:p>
    <w:p w:rsidR="003C1C17" w:rsidRDefault="000D2FFC" w14:paraId="6B446FA4" w14:textId="77777777">
      <w:pPr>
        <w:pBdr>
          <w:top w:val="single" w:color="auto" w:sz="4" w:space="1"/>
          <w:left w:val="single" w:color="auto" w:sz="4" w:space="4"/>
          <w:bottom w:val="single" w:color="auto" w:sz="4" w:space="1"/>
          <w:right w:val="single" w:color="auto" w:sz="4" w:space="4"/>
        </w:pBdr>
        <w:rPr>
          <w:sz w:val="24"/>
        </w:rPr>
      </w:pPr>
      <w:r>
        <w:rPr>
          <w:b/>
          <w:sz w:val="24"/>
        </w:rPr>
        <w:t xml:space="preserve">Job title: </w:t>
      </w:r>
      <w:r>
        <w:rPr>
          <w:sz w:val="24"/>
        </w:rPr>
        <w:t>Head of Department</w:t>
      </w:r>
    </w:p>
    <w:p w:rsidR="003C1C17" w:rsidP="59C4E70C" w:rsidRDefault="000D2FFC" w14:paraId="3B7BD519" w14:textId="619EC3CF">
      <w:pPr>
        <w:pBdr>
          <w:top w:val="single" w:color="000000" w:sz="4" w:space="1"/>
          <w:left w:val="single" w:color="000000" w:sz="4" w:space="4"/>
          <w:bottom w:val="single" w:color="000000" w:sz="4" w:space="1"/>
          <w:right w:val="single" w:color="000000" w:sz="4" w:space="4"/>
        </w:pBdr>
        <w:rPr>
          <w:sz w:val="24"/>
          <w:szCs w:val="24"/>
        </w:rPr>
      </w:pPr>
      <w:r w:rsidRPr="59C4E70C" w:rsidR="000D2FFC">
        <w:rPr>
          <w:b w:val="1"/>
          <w:bCs w:val="1"/>
          <w:sz w:val="24"/>
          <w:szCs w:val="24"/>
        </w:rPr>
        <w:t xml:space="preserve">Last review date: </w:t>
      </w:r>
      <w:r w:rsidRPr="59C4E70C" w:rsidR="7C76AE45">
        <w:rPr>
          <w:sz w:val="24"/>
          <w:szCs w:val="24"/>
        </w:rPr>
        <w:t>June 202</w:t>
      </w:r>
      <w:r w:rsidRPr="59C4E70C" w:rsidR="736986D5">
        <w:rPr>
          <w:sz w:val="24"/>
          <w:szCs w:val="24"/>
        </w:rPr>
        <w:t>5</w:t>
      </w:r>
    </w:p>
    <w:p w:rsidR="003C1C17" w:rsidP="59C4E70C" w:rsidRDefault="000D2FFC" w14:paraId="18AAF6ED" w14:textId="7EADB1A9">
      <w:pPr>
        <w:pBdr>
          <w:top w:val="single" w:color="000000" w:sz="4" w:space="1"/>
          <w:left w:val="single" w:color="000000" w:sz="4" w:space="4"/>
          <w:bottom w:val="single" w:color="000000" w:sz="4" w:space="1"/>
          <w:right w:val="single" w:color="000000" w:sz="4" w:space="4"/>
        </w:pBdr>
        <w:rPr>
          <w:sz w:val="24"/>
          <w:szCs w:val="24"/>
        </w:rPr>
      </w:pPr>
      <w:r w:rsidRPr="59C4E70C" w:rsidR="000D2FFC">
        <w:rPr>
          <w:b w:val="1"/>
          <w:bCs w:val="1"/>
          <w:sz w:val="24"/>
          <w:szCs w:val="24"/>
        </w:rPr>
        <w:t xml:space="preserve">Next review date: </w:t>
      </w:r>
      <w:r w:rsidRPr="59C4E70C" w:rsidR="000D2FFC">
        <w:rPr>
          <w:sz w:val="24"/>
          <w:szCs w:val="24"/>
        </w:rPr>
        <w:t>June 202</w:t>
      </w:r>
      <w:r w:rsidRPr="59C4E70C" w:rsidR="27B8ACC5">
        <w:rPr>
          <w:sz w:val="24"/>
          <w:szCs w:val="24"/>
        </w:rPr>
        <w:t>6</w:t>
      </w:r>
    </w:p>
    <w:p w:rsidR="003C1C17" w:rsidRDefault="003C1C17" w14:paraId="71CFA994" w14:textId="77777777">
      <w:pPr>
        <w:rPr>
          <w:b/>
        </w:rPr>
      </w:pPr>
    </w:p>
    <w:p w:rsidR="003C1C17" w:rsidRDefault="000D2FFC" w14:paraId="46A9778B" w14:textId="77777777">
      <w:r>
        <w:rPr>
          <w:b/>
        </w:rPr>
        <w:t>Circulation</w:t>
      </w:r>
      <w:r>
        <w:t>: This policy has been adopted by the governors and is available to parents on request. It is addressed to all members of staff and volunteers and applies wherever they are working with children.</w:t>
      </w:r>
    </w:p>
    <w:p w:rsidR="003C1C17" w:rsidRDefault="000D2FFC" w14:paraId="6E5BF52C" w14:textId="027073EC">
      <w:r>
        <w:t xml:space="preserve">‘Parents’ refers to parents, </w:t>
      </w:r>
      <w:r w:rsidR="00D519E1">
        <w:t>guardians,</w:t>
      </w:r>
      <w:r>
        <w:t xml:space="preserve"> and carers.</w:t>
      </w:r>
    </w:p>
    <w:p w:rsidR="003C1C17" w:rsidRDefault="003C1C17" w14:paraId="58D9857B" w14:textId="77777777">
      <w:pPr>
        <w:jc w:val="center"/>
        <w:rPr>
          <w:b/>
          <w:color w:val="1F4E79" w:themeColor="accent1" w:themeShade="80"/>
          <w:sz w:val="28"/>
          <w:szCs w:val="28"/>
        </w:rPr>
      </w:pPr>
    </w:p>
    <w:p w:rsidR="003C1C17" w:rsidRDefault="003C1C17" w14:paraId="2BE29A20" w14:textId="77777777">
      <w:pPr>
        <w:jc w:val="center"/>
        <w:rPr>
          <w:b/>
          <w:color w:val="1F4E79" w:themeColor="accent1" w:themeShade="80"/>
          <w:sz w:val="28"/>
          <w:szCs w:val="28"/>
        </w:rPr>
      </w:pPr>
    </w:p>
    <w:p w:rsidR="003C1C17" w:rsidRDefault="003C1C17" w14:paraId="2F3F7A51" w14:textId="77777777">
      <w:pPr>
        <w:rPr>
          <w:b/>
          <w:color w:val="1F4E79" w:themeColor="accent1" w:themeShade="80"/>
          <w:sz w:val="28"/>
          <w:szCs w:val="28"/>
        </w:rPr>
      </w:pPr>
    </w:p>
    <w:p w:rsidR="003C1C17" w:rsidRDefault="003C1C17" w14:paraId="31445436" w14:textId="77777777">
      <w:pPr>
        <w:rPr>
          <w:b/>
          <w:color w:val="1F4E79" w:themeColor="accent1" w:themeShade="80"/>
          <w:sz w:val="28"/>
          <w:szCs w:val="28"/>
        </w:rPr>
      </w:pPr>
    </w:p>
    <w:p w:rsidR="003C1C17" w:rsidRDefault="003C1C17" w14:paraId="255F6CD7" w14:textId="77777777">
      <w:pPr>
        <w:rPr>
          <w:b/>
          <w:color w:val="1F4E79" w:themeColor="accent1" w:themeShade="80"/>
          <w:sz w:val="28"/>
          <w:szCs w:val="28"/>
        </w:rPr>
      </w:pPr>
    </w:p>
    <w:p w:rsidR="003C1C17" w:rsidRDefault="003C1C17" w14:paraId="58DF4A0C" w14:textId="77777777">
      <w:pPr>
        <w:rPr>
          <w:b/>
          <w:color w:val="1F4E79" w:themeColor="accent1" w:themeShade="80"/>
          <w:sz w:val="28"/>
          <w:szCs w:val="28"/>
        </w:rPr>
      </w:pPr>
    </w:p>
    <w:p w:rsidR="003C1C17" w:rsidRDefault="003C1C17" w14:paraId="09289551" w14:textId="77777777">
      <w:pPr>
        <w:rPr>
          <w:b/>
          <w:color w:val="1F4E79" w:themeColor="accent1" w:themeShade="80"/>
          <w:sz w:val="28"/>
          <w:szCs w:val="28"/>
        </w:rPr>
      </w:pPr>
    </w:p>
    <w:p w:rsidR="003C1C17" w:rsidRDefault="003C1C17" w14:paraId="74F4E790" w14:textId="77777777">
      <w:pPr>
        <w:rPr>
          <w:b/>
          <w:color w:val="1F4E79" w:themeColor="accent1" w:themeShade="80"/>
          <w:sz w:val="28"/>
          <w:szCs w:val="28"/>
        </w:rPr>
      </w:pPr>
    </w:p>
    <w:p w:rsidR="003C1C17" w:rsidRDefault="003C1C17" w14:paraId="726486C8" w14:textId="77777777">
      <w:pPr>
        <w:rPr>
          <w:b/>
          <w:color w:val="1F4E79" w:themeColor="accent1" w:themeShade="80"/>
          <w:sz w:val="28"/>
          <w:szCs w:val="28"/>
        </w:rPr>
      </w:pPr>
    </w:p>
    <w:p w:rsidR="003C1C17" w:rsidRDefault="000D2FFC" w14:paraId="15939015" w14:textId="77777777">
      <w:pPr>
        <w:pStyle w:val="BodyText"/>
        <w:kinsoku w:val="0"/>
        <w:overflowPunct w:val="0"/>
        <w:spacing w:before="0" w:line="360" w:lineRule="auto"/>
        <w:ind w:left="0" w:firstLine="0"/>
        <w:jc w:val="both"/>
        <w:rPr>
          <w:b/>
          <w:bCs/>
        </w:rPr>
      </w:pPr>
      <w:r>
        <w:rPr>
          <w:b/>
          <w:bCs/>
        </w:rPr>
        <w:t>Introduction</w:t>
      </w:r>
    </w:p>
    <w:p w:rsidR="003C1C17" w:rsidRDefault="003C1C17" w14:paraId="590B3EFC" w14:textId="77777777">
      <w:pPr>
        <w:pStyle w:val="BodyText"/>
        <w:kinsoku w:val="0"/>
        <w:overflowPunct w:val="0"/>
        <w:spacing w:before="0" w:line="360" w:lineRule="auto"/>
        <w:ind w:left="0" w:firstLine="0"/>
        <w:jc w:val="both"/>
      </w:pPr>
    </w:p>
    <w:p w:rsidR="003C1C17" w:rsidRDefault="000D2FFC" w14:paraId="1F7C1CB8" w14:textId="77777777">
      <w:pPr>
        <w:shd w:val="clear" w:color="auto" w:fill="FFFFFF"/>
        <w:spacing w:line="360" w:lineRule="auto"/>
        <w:jc w:val="both"/>
        <w:rPr>
          <w:rFonts w:ascii="Arial" w:hAnsi="Arial" w:eastAsia="Times New Roman" w:cs="Arial"/>
        </w:rPr>
      </w:pPr>
      <w:r>
        <w:rPr>
          <w:rFonts w:ascii="Arial" w:hAnsi="Arial" w:eastAsia="Times New Roman" w:cs="Arial"/>
        </w:rPr>
        <w:t>Academic English forms the educational foundation for any international student studying with us, whatever course they follow, as English is the language for both teaching and learning.</w:t>
      </w:r>
    </w:p>
    <w:p w:rsidR="003C1C17" w:rsidRDefault="000D2FFC" w14:paraId="77668A25" w14:textId="77777777">
      <w:pPr>
        <w:shd w:val="clear" w:color="auto" w:fill="FFFFFF"/>
        <w:spacing w:line="360" w:lineRule="auto"/>
        <w:jc w:val="both"/>
        <w:rPr>
          <w:rFonts w:ascii="Arial" w:hAnsi="Arial" w:eastAsia="Times New Roman" w:cs="Arial"/>
        </w:rPr>
      </w:pPr>
      <w:r>
        <w:rPr>
          <w:rFonts w:ascii="Arial" w:hAnsi="Arial" w:eastAsia="Times New Roman" w:cs="Arial"/>
        </w:rPr>
        <w:t xml:space="preserve">Every student’s language target is to achieve a minimum of 6.5 in the IELTS exam (International English Language Testing System), with a minimum of 6.0 in each component. It is compulsory to study this course until this is achieved, although we recommend students study beyond this score. There are various courses to follow to do this, depending on the English level at the start (which we will assess upon arrival). Students who achieved IELTS 6.5 prior to joining DLD need to produce a valid certificate to evidence this.  </w:t>
      </w:r>
    </w:p>
    <w:p w:rsidR="003C1C17" w:rsidRDefault="000D2FFC" w14:paraId="33CE9C56" w14:textId="2F1BD404">
      <w:pPr>
        <w:shd w:val="clear" w:color="auto" w:fill="FFFFFF"/>
        <w:spacing w:line="360" w:lineRule="auto"/>
        <w:jc w:val="both"/>
        <w:rPr>
          <w:rFonts w:ascii="Arial" w:hAnsi="Arial" w:eastAsia="Times New Roman" w:cs="Arial"/>
        </w:rPr>
      </w:pPr>
      <w:r>
        <w:rPr>
          <w:rFonts w:ascii="Arial" w:hAnsi="Arial" w:eastAsia="Times New Roman" w:cs="Arial"/>
        </w:rPr>
        <w:t>The IELTS exam is as important as any A level subject, Foundation course or BTEC qualification</w:t>
      </w:r>
      <w:r w:rsidR="00D519E1">
        <w:rPr>
          <w:rFonts w:ascii="Arial" w:hAnsi="Arial" w:eastAsia="Times New Roman" w:cs="Arial"/>
        </w:rPr>
        <w:t>,</w:t>
      </w:r>
      <w:r>
        <w:rPr>
          <w:rFonts w:ascii="Arial" w:hAnsi="Arial" w:eastAsia="Times New Roman" w:cs="Arial"/>
        </w:rPr>
        <w:t xml:space="preserve"> and must be taken alongside these, because the demonstration of Academic English skills of a certain level (generally 6.5) is a prerequisite for entry to all good universities. Further to this, universities such as Oxford, Cambridge, LSE, Imperial and UCL often request 7.0/7.5.</w:t>
      </w:r>
    </w:p>
    <w:p w:rsidR="003C1C17" w:rsidRDefault="000D2FFC" w14:paraId="1850627E" w14:textId="09E5919A">
      <w:pPr>
        <w:shd w:val="clear" w:color="auto" w:fill="FFFFFF"/>
        <w:spacing w:line="360" w:lineRule="auto"/>
        <w:jc w:val="both"/>
        <w:rPr>
          <w:rFonts w:ascii="Arial" w:hAnsi="Arial" w:eastAsia="Times New Roman" w:cs="Arial"/>
        </w:rPr>
      </w:pPr>
      <w:r>
        <w:rPr>
          <w:rFonts w:ascii="Arial" w:hAnsi="Arial" w:eastAsia="Times New Roman" w:cs="Arial"/>
        </w:rPr>
        <w:t xml:space="preserve">This exam focuses not only on the four main language skills (reading, writing, </w:t>
      </w:r>
      <w:r w:rsidR="00D519E1">
        <w:rPr>
          <w:rFonts w:ascii="Arial" w:hAnsi="Arial" w:eastAsia="Times New Roman" w:cs="Arial"/>
        </w:rPr>
        <w:t>speaking,</w:t>
      </w:r>
      <w:r>
        <w:rPr>
          <w:rFonts w:ascii="Arial" w:hAnsi="Arial" w:eastAsia="Times New Roman" w:cs="Arial"/>
        </w:rPr>
        <w:t xml:space="preserve"> and listening), but also on the academic learning skills required through the sixth form, into university and beyond, for example, discursive essay writing, argument analysis and note-taking. </w:t>
      </w:r>
    </w:p>
    <w:p w:rsidR="003C1C17" w:rsidRDefault="003C1C17" w14:paraId="5EDF27AE" w14:textId="77777777">
      <w:pPr>
        <w:shd w:val="clear" w:color="auto" w:fill="FFFFFF"/>
        <w:spacing w:line="360" w:lineRule="auto"/>
        <w:jc w:val="both"/>
        <w:rPr>
          <w:rFonts w:ascii="Arial" w:hAnsi="Arial" w:eastAsia="Times New Roman" w:cs="Arial"/>
        </w:rPr>
      </w:pPr>
    </w:p>
    <w:p w:rsidR="003C1C17" w:rsidRDefault="000D2FFC" w14:paraId="320228FC" w14:textId="77777777">
      <w:pPr>
        <w:shd w:val="clear" w:color="auto" w:fill="FFFFFF"/>
        <w:spacing w:line="360" w:lineRule="auto"/>
        <w:jc w:val="both"/>
        <w:rPr>
          <w:rFonts w:ascii="Arial" w:hAnsi="Arial" w:cs="Arial"/>
          <w:b/>
          <w:bCs/>
        </w:rPr>
      </w:pPr>
      <w:r>
        <w:rPr>
          <w:rFonts w:ascii="Arial" w:hAnsi="Arial" w:cs="Arial"/>
          <w:b/>
        </w:rPr>
        <w:t>Aims and</w:t>
      </w:r>
      <w:r>
        <w:rPr>
          <w:rFonts w:ascii="Arial" w:hAnsi="Arial" w:cs="Arial"/>
          <w:b/>
          <w:spacing w:val="-4"/>
        </w:rPr>
        <w:t xml:space="preserve"> </w:t>
      </w:r>
      <w:r>
        <w:rPr>
          <w:rFonts w:ascii="Arial" w:hAnsi="Arial" w:cs="Arial"/>
          <w:b/>
        </w:rPr>
        <w:t>Objectives</w:t>
      </w:r>
    </w:p>
    <w:p w:rsidR="003C1C17" w:rsidRDefault="003C1C17" w14:paraId="17EB1F2B" w14:textId="77777777">
      <w:pPr>
        <w:pStyle w:val="BodyText"/>
        <w:kinsoku w:val="0"/>
        <w:overflowPunct w:val="0"/>
        <w:spacing w:before="0" w:line="360" w:lineRule="auto"/>
        <w:ind w:left="0" w:firstLine="0"/>
        <w:jc w:val="both"/>
        <w:rPr>
          <w:b/>
          <w:bCs/>
        </w:rPr>
      </w:pPr>
    </w:p>
    <w:p w:rsidR="003C1C17" w:rsidP="00627C4A" w:rsidRDefault="000D2FFC" w14:paraId="3217835F" w14:textId="560A18B2">
      <w:pPr>
        <w:spacing w:after="120" w:line="360" w:lineRule="auto"/>
        <w:ind w:left="460"/>
        <w:jc w:val="both"/>
        <w:rPr>
          <w:rFonts w:ascii="Arial" w:hAnsi="Arial" w:eastAsia="Times New Roman" w:cs="Arial"/>
        </w:rPr>
      </w:pPr>
      <w:r>
        <w:rPr>
          <w:rFonts w:ascii="Arial" w:hAnsi="Arial" w:eastAsia="Times New Roman" w:cs="Arial"/>
        </w:rPr>
        <w:t>• To develop students’ understanding of a wide variety of complex reading texts, recognising implicit meaning.</w:t>
      </w:r>
    </w:p>
    <w:p w:rsidR="003C1C17" w:rsidP="00627C4A" w:rsidRDefault="003C1C17" w14:paraId="4B17A9AE" w14:textId="77777777">
      <w:pPr>
        <w:spacing w:after="120" w:line="360" w:lineRule="auto"/>
        <w:ind w:left="460"/>
        <w:jc w:val="both"/>
        <w:rPr>
          <w:rFonts w:ascii="Arial" w:hAnsi="Arial" w:eastAsia="Times New Roman" w:cs="Arial"/>
        </w:rPr>
      </w:pPr>
    </w:p>
    <w:p w:rsidR="003C1C17" w:rsidP="00627C4A" w:rsidRDefault="000D2FFC" w14:paraId="65D54DB4" w14:textId="7725FC6A">
      <w:pPr>
        <w:spacing w:after="0" w:line="360" w:lineRule="auto"/>
        <w:ind w:left="460"/>
        <w:jc w:val="both"/>
        <w:rPr>
          <w:rFonts w:ascii="Arial" w:hAnsi="Arial" w:eastAsia="Times New Roman" w:cs="Arial"/>
        </w:rPr>
      </w:pPr>
      <w:r>
        <w:rPr>
          <w:rFonts w:ascii="Arial" w:hAnsi="Arial" w:eastAsia="Times New Roman" w:cs="Arial"/>
        </w:rPr>
        <w:t xml:space="preserve">• To enable students to understand standard spoken language on both unfamiliar and familiar topics normally encountered in personal, social, </w:t>
      </w:r>
      <w:r w:rsidR="00D519E1">
        <w:rPr>
          <w:rFonts w:ascii="Arial" w:hAnsi="Arial" w:eastAsia="Times New Roman" w:cs="Arial"/>
        </w:rPr>
        <w:t>academic,</w:t>
      </w:r>
      <w:r>
        <w:rPr>
          <w:rFonts w:ascii="Arial" w:hAnsi="Arial" w:eastAsia="Times New Roman" w:cs="Arial"/>
        </w:rPr>
        <w:t xml:space="preserve"> or vocational contexts.</w:t>
      </w:r>
    </w:p>
    <w:p w:rsidR="003C1C17" w:rsidP="00627C4A" w:rsidRDefault="000D2FFC" w14:paraId="4312D5E5" w14:textId="0BF7B668">
      <w:pPr>
        <w:spacing w:after="0" w:line="360" w:lineRule="auto"/>
        <w:ind w:left="460"/>
        <w:jc w:val="both"/>
        <w:rPr>
          <w:rFonts w:ascii="Arial" w:hAnsi="Arial" w:eastAsia="Times New Roman" w:cs="Arial"/>
        </w:rPr>
      </w:pPr>
      <w:r>
        <w:rPr>
          <w:rFonts w:ascii="Arial" w:hAnsi="Arial" w:eastAsia="Times New Roman" w:cs="Arial"/>
        </w:rPr>
        <w:br/>
      </w:r>
      <w:r>
        <w:rPr>
          <w:rFonts w:ascii="Arial" w:hAnsi="Arial" w:eastAsia="Times New Roman" w:cs="Arial"/>
        </w:rPr>
        <w:t xml:space="preserve">• To enable students to write clear, well-structured </w:t>
      </w:r>
      <w:r w:rsidR="00627C4A">
        <w:rPr>
          <w:rFonts w:ascii="Arial" w:hAnsi="Arial" w:eastAsia="Times New Roman" w:cs="Arial"/>
        </w:rPr>
        <w:t>essays,</w:t>
      </w:r>
      <w:r>
        <w:rPr>
          <w:rFonts w:ascii="Arial" w:hAnsi="Arial" w:eastAsia="Times New Roman" w:cs="Arial"/>
        </w:rPr>
        <w:t xml:space="preserve"> using an appropriate style, highlighting relevant issues, </w:t>
      </w:r>
      <w:r w:rsidR="00D519E1">
        <w:rPr>
          <w:rFonts w:ascii="Arial" w:hAnsi="Arial" w:eastAsia="Times New Roman" w:cs="Arial"/>
        </w:rPr>
        <w:t>expanding,</w:t>
      </w:r>
      <w:r>
        <w:rPr>
          <w:rFonts w:ascii="Arial" w:hAnsi="Arial" w:eastAsia="Times New Roman" w:cs="Arial"/>
        </w:rPr>
        <w:t xml:space="preserve"> and supporting, points of view with arguments where relevant and showing controlled use of connectives and cohesive devices.</w:t>
      </w:r>
    </w:p>
    <w:p w:rsidR="00627C4A" w:rsidP="00627C4A" w:rsidRDefault="00627C4A" w14:paraId="79F21616" w14:textId="77777777">
      <w:pPr>
        <w:spacing w:after="0" w:line="360" w:lineRule="auto"/>
        <w:ind w:left="460"/>
        <w:jc w:val="both"/>
        <w:rPr>
          <w:rFonts w:ascii="Arial" w:hAnsi="Arial" w:eastAsia="Times New Roman" w:cs="Arial"/>
        </w:rPr>
      </w:pPr>
    </w:p>
    <w:p w:rsidRPr="00627C4A" w:rsidR="00627C4A" w:rsidP="00627C4A" w:rsidRDefault="00627C4A" w14:paraId="4FA15F60" w14:textId="26EBCF1E">
      <w:pPr>
        <w:pStyle w:val="ListParagraph"/>
        <w:numPr>
          <w:ilvl w:val="0"/>
          <w:numId w:val="8"/>
        </w:numPr>
        <w:jc w:val="both"/>
        <w:rPr>
          <w:rFonts w:ascii="Arial" w:hAnsi="Arial" w:cs="Arial"/>
        </w:rPr>
      </w:pPr>
      <w:r w:rsidRPr="00627C4A">
        <w:rPr>
          <w:rFonts w:ascii="Arial" w:hAnsi="Arial" w:cs="Arial"/>
        </w:rPr>
        <w:t>To enable students to interpret data presented in diagrammatic form, identifying and reporting on the main features</w:t>
      </w:r>
      <w:r>
        <w:rPr>
          <w:rFonts w:ascii="Arial" w:hAnsi="Arial" w:cs="Arial"/>
        </w:rPr>
        <w:t>, using the correct lexis.</w:t>
      </w:r>
    </w:p>
    <w:p w:rsidR="003C1C17" w:rsidP="00627C4A" w:rsidRDefault="003C1C17" w14:paraId="44A4946C" w14:textId="77777777">
      <w:pPr>
        <w:spacing w:after="0" w:line="360" w:lineRule="auto"/>
        <w:jc w:val="both"/>
        <w:rPr>
          <w:rFonts w:ascii="Arial" w:hAnsi="Arial" w:eastAsia="Times New Roman" w:cs="Arial"/>
        </w:rPr>
      </w:pPr>
    </w:p>
    <w:p w:rsidR="003C1C17" w:rsidP="00627C4A" w:rsidRDefault="000D2FFC" w14:paraId="78DED217" w14:textId="77777777">
      <w:pPr>
        <w:spacing w:after="0" w:line="360" w:lineRule="auto"/>
        <w:ind w:left="460"/>
        <w:jc w:val="both"/>
        <w:rPr>
          <w:rFonts w:ascii="Arial" w:hAnsi="Arial" w:eastAsia="Times New Roman" w:cs="Arial"/>
        </w:rPr>
      </w:pPr>
      <w:r>
        <w:rPr>
          <w:rFonts w:ascii="Arial" w:hAnsi="Arial" w:eastAsia="Times New Roman" w:cs="Arial"/>
        </w:rPr>
        <w:t>• To develop students’ ability to express themselves fluently and articulately in a range of speaking contexts.</w:t>
      </w:r>
    </w:p>
    <w:p w:rsidR="003C1C17" w:rsidP="00627C4A" w:rsidRDefault="003C1C17" w14:paraId="172EBAEA" w14:textId="77777777">
      <w:pPr>
        <w:spacing w:after="0" w:line="360" w:lineRule="auto"/>
        <w:ind w:left="460"/>
        <w:jc w:val="both"/>
        <w:rPr>
          <w:rFonts w:ascii="Arial" w:hAnsi="Arial" w:eastAsia="Times New Roman" w:cs="Arial"/>
        </w:rPr>
      </w:pPr>
    </w:p>
    <w:p w:rsidR="003C1C17" w:rsidP="00627C4A" w:rsidRDefault="000D2FFC" w14:paraId="76C54E8A" w14:textId="77777777">
      <w:pPr>
        <w:spacing w:after="0" w:line="360" w:lineRule="auto"/>
        <w:ind w:left="460"/>
        <w:jc w:val="both"/>
        <w:rPr>
          <w:rFonts w:ascii="Arial" w:hAnsi="Arial" w:eastAsia="Times New Roman" w:cs="Arial"/>
        </w:rPr>
      </w:pPr>
      <w:r>
        <w:rPr>
          <w:rFonts w:ascii="Arial" w:hAnsi="Arial" w:eastAsia="Times New Roman" w:cs="Arial"/>
        </w:rPr>
        <w:t>• To develop the skills necessary for further study in English-speaking countries.</w:t>
      </w:r>
    </w:p>
    <w:p w:rsidR="003C1C17" w:rsidP="00627C4A" w:rsidRDefault="000D2FFC" w14:paraId="0A62F26E" w14:textId="33FB052F">
      <w:pPr>
        <w:spacing w:after="0" w:line="360" w:lineRule="auto"/>
        <w:ind w:left="460"/>
        <w:jc w:val="both"/>
        <w:rPr>
          <w:rFonts w:ascii="Arial" w:hAnsi="Arial" w:eastAsia="Times New Roman" w:cs="Arial"/>
        </w:rPr>
      </w:pPr>
      <w:r>
        <w:rPr>
          <w:rFonts w:ascii="Arial" w:hAnsi="Arial" w:eastAsia="Times New Roman" w:cs="Arial"/>
        </w:rPr>
        <w:br/>
      </w:r>
      <w:r>
        <w:rPr>
          <w:rFonts w:ascii="Arial" w:hAnsi="Arial" w:eastAsia="Times New Roman" w:cs="Arial"/>
        </w:rPr>
        <w:t xml:space="preserve">• To develop an understanding of the nature of language in different cultural contexts </w:t>
      </w:r>
      <w:proofErr w:type="gramStart"/>
      <w:r>
        <w:rPr>
          <w:rFonts w:ascii="Arial" w:hAnsi="Arial" w:eastAsia="Times New Roman" w:cs="Arial"/>
        </w:rPr>
        <w:t>in order to</w:t>
      </w:r>
      <w:proofErr w:type="gramEnd"/>
      <w:r>
        <w:rPr>
          <w:rFonts w:ascii="Arial" w:hAnsi="Arial" w:eastAsia="Times New Roman" w:cs="Arial"/>
        </w:rPr>
        <w:t xml:space="preserve"> build up a communicative competence.</w:t>
      </w:r>
    </w:p>
    <w:p w:rsidRPr="00D519E1" w:rsidR="00D519E1" w:rsidP="00627C4A" w:rsidRDefault="00D519E1" w14:paraId="40029B77" w14:textId="77777777">
      <w:pPr>
        <w:pStyle w:val="ListParagraph"/>
        <w:spacing w:after="0" w:line="360" w:lineRule="auto"/>
        <w:ind w:left="1180"/>
        <w:jc w:val="both"/>
        <w:rPr>
          <w:rFonts w:ascii="Arial" w:hAnsi="Arial" w:eastAsia="Times New Roman" w:cs="Arial"/>
        </w:rPr>
      </w:pPr>
    </w:p>
    <w:p w:rsidRPr="00D519E1" w:rsidR="00D519E1" w:rsidP="00D519E1" w:rsidRDefault="00D519E1" w14:paraId="018E9E0F" w14:textId="77777777">
      <w:pPr>
        <w:pStyle w:val="ListParagraph"/>
        <w:spacing w:after="0" w:line="360" w:lineRule="auto"/>
        <w:ind w:left="1180"/>
        <w:jc w:val="both"/>
        <w:rPr>
          <w:rFonts w:ascii="Arial" w:hAnsi="Arial" w:eastAsia="Times New Roman" w:cs="Arial"/>
        </w:rPr>
      </w:pPr>
    </w:p>
    <w:p w:rsidR="003C1C17" w:rsidRDefault="003C1C17" w14:paraId="10FB27D3" w14:textId="77777777">
      <w:pPr>
        <w:shd w:val="clear" w:color="auto" w:fill="FFFFFF"/>
        <w:spacing w:line="360" w:lineRule="auto"/>
        <w:jc w:val="both"/>
        <w:rPr>
          <w:rFonts w:ascii="Arial" w:hAnsi="Arial" w:cs="Arial"/>
        </w:rPr>
      </w:pPr>
    </w:p>
    <w:p w:rsidR="003C1C17" w:rsidRDefault="000D2FFC" w14:paraId="0E339688" w14:textId="77777777">
      <w:pPr>
        <w:shd w:val="clear" w:color="auto" w:fill="FFFFFF"/>
        <w:spacing w:line="360" w:lineRule="auto"/>
        <w:jc w:val="both"/>
        <w:rPr>
          <w:rFonts w:ascii="Arial" w:hAnsi="Arial" w:cs="Arial"/>
          <w:b/>
        </w:rPr>
      </w:pPr>
      <w:r>
        <w:rPr>
          <w:rFonts w:ascii="Arial" w:hAnsi="Arial" w:cs="Arial"/>
          <w:b/>
        </w:rPr>
        <w:t>How students will progress</w:t>
      </w:r>
    </w:p>
    <w:p w:rsidR="003C1C17" w:rsidRDefault="000D2FFC" w14:paraId="6C22A0D1" w14:textId="77777777">
      <w:pPr>
        <w:shd w:val="clear" w:color="auto" w:fill="FFFFFF"/>
        <w:spacing w:line="360" w:lineRule="auto"/>
        <w:jc w:val="both"/>
        <w:rPr>
          <w:rFonts w:ascii="Arial" w:hAnsi="Arial" w:cs="Arial"/>
        </w:rPr>
      </w:pPr>
      <w:r>
        <w:rPr>
          <w:rFonts w:ascii="Arial" w:hAnsi="Arial" w:cs="Arial"/>
        </w:rPr>
        <w:t>At interview, the College will establish which main course a student should study for and place him/her at the correct point in this progression table for the Academic English component:</w:t>
      </w:r>
    </w:p>
    <w:p w:rsidR="003C1C17" w:rsidRDefault="000D2FFC" w14:paraId="078061B9" w14:textId="77777777">
      <w:pPr>
        <w:pBdr>
          <w:top w:val="single" w:color="auto" w:sz="4" w:space="1"/>
          <w:left w:val="single" w:color="auto" w:sz="4" w:space="4"/>
          <w:bottom w:val="single" w:color="auto" w:sz="4" w:space="1"/>
          <w:right w:val="single" w:color="auto" w:sz="4" w:space="4"/>
        </w:pBdr>
        <w:shd w:val="clear" w:color="auto" w:fill="FFFFFF"/>
        <w:spacing w:line="360" w:lineRule="auto"/>
        <w:jc w:val="both"/>
        <w:rPr>
          <w:rFonts w:ascii="Arial" w:hAnsi="Arial" w:cs="Arial"/>
          <w:b/>
        </w:rPr>
      </w:pPr>
      <w:r>
        <w:rPr>
          <w:rFonts w:ascii="Arial" w:hAnsi="Arial" w:cs="Arial"/>
          <w:b/>
        </w:rPr>
        <w:t>2 Year GCSE students will study and prepare for:</w:t>
      </w:r>
      <w:r>
        <w:rPr>
          <w:rFonts w:ascii="Arial" w:hAnsi="Arial" w:cs="Arial"/>
        </w:rPr>
        <w:tab/>
      </w:r>
    </w:p>
    <w:p w:rsidR="003C1C17" w:rsidRDefault="000D2FFC" w14:paraId="6331A9FB" w14:textId="77777777">
      <w:pPr>
        <w:pBdr>
          <w:top w:val="single" w:color="auto" w:sz="4" w:space="1"/>
          <w:left w:val="single" w:color="auto" w:sz="4" w:space="4"/>
          <w:bottom w:val="single" w:color="auto" w:sz="4" w:space="1"/>
          <w:right w:val="single" w:color="auto" w:sz="4" w:space="4"/>
        </w:pBdr>
        <w:shd w:val="clear" w:color="auto" w:fill="FFFFFF"/>
        <w:spacing w:line="360" w:lineRule="auto"/>
        <w:jc w:val="both"/>
        <w:rPr>
          <w:rFonts w:ascii="Arial" w:hAnsi="Arial" w:cs="Arial"/>
        </w:rPr>
      </w:pPr>
      <w:r>
        <w:rPr>
          <w:rFonts w:ascii="Arial" w:hAnsi="Arial" w:cs="Arial"/>
        </w:rPr>
        <w:t>PET</w:t>
      </w:r>
      <w:r>
        <w:rPr>
          <w:rFonts w:ascii="Arial" w:hAnsi="Arial" w:cs="Arial"/>
        </w:rPr>
        <w:tab/>
      </w:r>
      <w:r>
        <w:rPr>
          <w:rFonts w:ascii="Arial" w:hAnsi="Arial" w:cs="Arial"/>
        </w:rPr>
        <w:tab/>
      </w:r>
      <w:r>
        <w:rPr>
          <w:rFonts w:ascii="Arial" w:hAnsi="Arial" w:cs="Arial"/>
        </w:rPr>
        <w:t>Preliminary English Test</w:t>
      </w:r>
    </w:p>
    <w:p w:rsidR="003C1C17" w:rsidRDefault="000D2FFC" w14:paraId="0352EFBC" w14:textId="77777777">
      <w:pPr>
        <w:pBdr>
          <w:top w:val="single" w:color="auto" w:sz="4" w:space="1"/>
          <w:left w:val="single" w:color="auto" w:sz="4" w:space="4"/>
          <w:bottom w:val="single" w:color="auto" w:sz="4" w:space="1"/>
          <w:right w:val="single" w:color="auto" w:sz="4" w:space="4"/>
        </w:pBdr>
        <w:shd w:val="clear" w:color="auto" w:fill="FFFFFF"/>
        <w:spacing w:line="360" w:lineRule="auto"/>
        <w:jc w:val="both"/>
        <w:rPr>
          <w:rFonts w:ascii="Arial" w:hAnsi="Arial" w:cs="Arial"/>
          <w:b/>
        </w:rPr>
      </w:pPr>
      <w:r>
        <w:rPr>
          <w:rFonts w:ascii="Arial" w:hAnsi="Arial" w:cs="Arial"/>
          <w:b/>
        </w:rPr>
        <w:t>APC (Academic Preparation Course) and 1 Year GCSE students will study and prepare for:</w:t>
      </w:r>
    </w:p>
    <w:p w:rsidR="003C1C17" w:rsidRDefault="000D2FFC" w14:paraId="1FC3A1D7" w14:textId="77777777">
      <w:pPr>
        <w:pBdr>
          <w:top w:val="single" w:color="auto" w:sz="4" w:space="1"/>
          <w:left w:val="single" w:color="auto" w:sz="4" w:space="4"/>
          <w:bottom w:val="single" w:color="auto" w:sz="4" w:space="1"/>
          <w:right w:val="single" w:color="auto" w:sz="4" w:space="4"/>
        </w:pBdr>
        <w:shd w:val="clear" w:color="auto" w:fill="FFFFFF"/>
        <w:spacing w:line="360" w:lineRule="auto"/>
        <w:jc w:val="both"/>
        <w:rPr>
          <w:rFonts w:ascii="Arial" w:hAnsi="Arial" w:cs="Arial"/>
        </w:rPr>
      </w:pPr>
      <w:r>
        <w:rPr>
          <w:rFonts w:ascii="Arial" w:hAnsi="Arial" w:cs="Arial"/>
        </w:rPr>
        <w:t>IELTS</w:t>
      </w:r>
    </w:p>
    <w:p w:rsidR="003C1C17" w:rsidRDefault="000D2FFC" w14:paraId="2F2484D5" w14:textId="77777777">
      <w:pPr>
        <w:pBdr>
          <w:top w:val="single" w:color="auto" w:sz="4" w:space="1"/>
          <w:left w:val="single" w:color="auto" w:sz="4" w:space="4"/>
          <w:bottom w:val="single" w:color="auto" w:sz="4" w:space="1"/>
          <w:right w:val="single" w:color="auto" w:sz="4" w:space="4"/>
        </w:pBdr>
        <w:shd w:val="clear" w:color="auto" w:fill="FFFFFF"/>
        <w:spacing w:line="360" w:lineRule="auto"/>
        <w:jc w:val="both"/>
        <w:rPr>
          <w:rFonts w:ascii="Arial" w:hAnsi="Arial" w:cs="Arial"/>
          <w:b/>
        </w:rPr>
      </w:pPr>
      <w:r>
        <w:rPr>
          <w:rFonts w:ascii="Arial" w:hAnsi="Arial" w:cs="Arial"/>
          <w:b/>
        </w:rPr>
        <w:t>Years 12 to 14 will be placed in one of the two following levels:</w:t>
      </w:r>
    </w:p>
    <w:p w:rsidR="003C1C17" w:rsidRDefault="000D2FFC" w14:paraId="2708B40D" w14:textId="77777777">
      <w:pPr>
        <w:pBdr>
          <w:top w:val="single" w:color="auto" w:sz="4" w:space="1"/>
          <w:left w:val="single" w:color="auto" w:sz="4" w:space="4"/>
          <w:bottom w:val="single" w:color="auto" w:sz="4" w:space="1"/>
          <w:right w:val="single" w:color="auto" w:sz="4" w:space="4"/>
        </w:pBdr>
        <w:shd w:val="clear" w:color="auto" w:fill="FFFFFF"/>
        <w:spacing w:line="360" w:lineRule="auto"/>
        <w:jc w:val="both"/>
        <w:rPr>
          <w:rFonts w:ascii="Arial" w:hAnsi="Arial" w:cs="Arial"/>
        </w:rPr>
      </w:pPr>
      <w:r>
        <w:rPr>
          <w:rFonts w:ascii="Arial" w:hAnsi="Arial" w:cs="Arial"/>
        </w:rPr>
        <w:t>IELTS 1          bands 4.0 to 5.0</w:t>
      </w:r>
    </w:p>
    <w:p w:rsidR="003C1C17" w:rsidRDefault="000D2FFC" w14:paraId="13F013F1" w14:textId="77777777">
      <w:pPr>
        <w:pBdr>
          <w:top w:val="single" w:color="auto" w:sz="4" w:space="1"/>
          <w:left w:val="single" w:color="auto" w:sz="4" w:space="4"/>
          <w:bottom w:val="single" w:color="auto" w:sz="4" w:space="1"/>
          <w:right w:val="single" w:color="auto" w:sz="4" w:space="4"/>
        </w:pBdr>
        <w:shd w:val="clear" w:color="auto" w:fill="FFFFFF"/>
        <w:spacing w:line="360" w:lineRule="auto"/>
        <w:jc w:val="both"/>
        <w:rPr>
          <w:rFonts w:ascii="Arial" w:hAnsi="Arial" w:cs="Arial"/>
        </w:rPr>
      </w:pPr>
      <w:r>
        <w:rPr>
          <w:rFonts w:ascii="Arial" w:hAnsi="Arial" w:cs="Arial"/>
        </w:rPr>
        <w:t>IELTS 2          band 5.5 +</w:t>
      </w:r>
    </w:p>
    <w:p w:rsidR="003C1C17" w:rsidRDefault="000D2FFC" w14:paraId="7C39C762" w14:textId="77777777">
      <w:pPr>
        <w:pBdr>
          <w:top w:val="single" w:color="auto" w:sz="4" w:space="1"/>
          <w:left w:val="single" w:color="auto" w:sz="4" w:space="4"/>
          <w:bottom w:val="single" w:color="auto" w:sz="4" w:space="1"/>
          <w:right w:val="single" w:color="auto" w:sz="4" w:space="4"/>
        </w:pBdr>
        <w:shd w:val="clear" w:color="auto" w:fill="FFFFFF"/>
        <w:spacing w:line="360" w:lineRule="auto"/>
        <w:jc w:val="both"/>
        <w:rPr>
          <w:rFonts w:ascii="Arial" w:hAnsi="Arial" w:cs="Arial"/>
        </w:rPr>
      </w:pPr>
      <w:r>
        <w:rPr>
          <w:rFonts w:ascii="Arial" w:hAnsi="Arial" w:cs="Arial"/>
        </w:rPr>
        <w:t>in preparation for the IELTS exam.</w:t>
      </w:r>
    </w:p>
    <w:p w:rsidR="003C1C17" w:rsidRDefault="000D2FFC" w14:paraId="4FA2FBB4" w14:textId="77777777">
      <w:pPr>
        <w:shd w:val="clear" w:color="auto" w:fill="FFFFFF"/>
        <w:spacing w:line="360" w:lineRule="auto"/>
        <w:jc w:val="both"/>
        <w:rPr>
          <w:rFonts w:ascii="Arial" w:hAnsi="Arial" w:cs="Arial"/>
        </w:rPr>
      </w:pPr>
      <w:r>
        <w:rPr>
          <w:rFonts w:ascii="Arial" w:hAnsi="Arial" w:cs="Arial"/>
        </w:rPr>
        <w:t>These exams are all paper-based and externally assessed, with an even ‘mark weight’ balance across the four main skills areas.</w:t>
      </w:r>
    </w:p>
    <w:p w:rsidR="003C1C17" w:rsidRDefault="003C1C17" w14:paraId="3A9F0108" w14:textId="77777777">
      <w:pPr>
        <w:rPr>
          <w:b/>
          <w:color w:val="1F4E79" w:themeColor="accent1" w:themeShade="80"/>
          <w:sz w:val="28"/>
          <w:szCs w:val="28"/>
        </w:rPr>
      </w:pPr>
    </w:p>
    <w:sectPr w:rsidR="003C1C17">
      <w:pgSz w:w="11906" w:h="16838" w:orient="portrait"/>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3DC"/>
    <w:multiLevelType w:val="hybridMultilevel"/>
    <w:tmpl w:val="B994D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697698"/>
    <w:multiLevelType w:val="hybridMultilevel"/>
    <w:tmpl w:val="CD9EB15E"/>
    <w:lvl w:ilvl="0" w:tplc="08090001">
      <w:start w:val="1"/>
      <w:numFmt w:val="bullet"/>
      <w:lvlText w:val=""/>
      <w:lvlJc w:val="left"/>
      <w:pPr>
        <w:ind w:left="1180" w:hanging="360"/>
      </w:pPr>
      <w:rPr>
        <w:rFonts w:hint="default" w:ascii="Symbol" w:hAnsi="Symbol"/>
      </w:rPr>
    </w:lvl>
    <w:lvl w:ilvl="1" w:tplc="08090003" w:tentative="1">
      <w:start w:val="1"/>
      <w:numFmt w:val="bullet"/>
      <w:lvlText w:val="o"/>
      <w:lvlJc w:val="left"/>
      <w:pPr>
        <w:ind w:left="1900" w:hanging="360"/>
      </w:pPr>
      <w:rPr>
        <w:rFonts w:hint="default" w:ascii="Courier New" w:hAnsi="Courier New" w:cs="Courier New"/>
      </w:rPr>
    </w:lvl>
    <w:lvl w:ilvl="2" w:tplc="08090005" w:tentative="1">
      <w:start w:val="1"/>
      <w:numFmt w:val="bullet"/>
      <w:lvlText w:val=""/>
      <w:lvlJc w:val="left"/>
      <w:pPr>
        <w:ind w:left="2620" w:hanging="360"/>
      </w:pPr>
      <w:rPr>
        <w:rFonts w:hint="default" w:ascii="Wingdings" w:hAnsi="Wingdings"/>
      </w:rPr>
    </w:lvl>
    <w:lvl w:ilvl="3" w:tplc="08090001" w:tentative="1">
      <w:start w:val="1"/>
      <w:numFmt w:val="bullet"/>
      <w:lvlText w:val=""/>
      <w:lvlJc w:val="left"/>
      <w:pPr>
        <w:ind w:left="3340" w:hanging="360"/>
      </w:pPr>
      <w:rPr>
        <w:rFonts w:hint="default" w:ascii="Symbol" w:hAnsi="Symbol"/>
      </w:rPr>
    </w:lvl>
    <w:lvl w:ilvl="4" w:tplc="08090003" w:tentative="1">
      <w:start w:val="1"/>
      <w:numFmt w:val="bullet"/>
      <w:lvlText w:val="o"/>
      <w:lvlJc w:val="left"/>
      <w:pPr>
        <w:ind w:left="4060" w:hanging="360"/>
      </w:pPr>
      <w:rPr>
        <w:rFonts w:hint="default" w:ascii="Courier New" w:hAnsi="Courier New" w:cs="Courier New"/>
      </w:rPr>
    </w:lvl>
    <w:lvl w:ilvl="5" w:tplc="08090005" w:tentative="1">
      <w:start w:val="1"/>
      <w:numFmt w:val="bullet"/>
      <w:lvlText w:val=""/>
      <w:lvlJc w:val="left"/>
      <w:pPr>
        <w:ind w:left="4780" w:hanging="360"/>
      </w:pPr>
      <w:rPr>
        <w:rFonts w:hint="default" w:ascii="Wingdings" w:hAnsi="Wingdings"/>
      </w:rPr>
    </w:lvl>
    <w:lvl w:ilvl="6" w:tplc="08090001" w:tentative="1">
      <w:start w:val="1"/>
      <w:numFmt w:val="bullet"/>
      <w:lvlText w:val=""/>
      <w:lvlJc w:val="left"/>
      <w:pPr>
        <w:ind w:left="5500" w:hanging="360"/>
      </w:pPr>
      <w:rPr>
        <w:rFonts w:hint="default" w:ascii="Symbol" w:hAnsi="Symbol"/>
      </w:rPr>
    </w:lvl>
    <w:lvl w:ilvl="7" w:tplc="08090003" w:tentative="1">
      <w:start w:val="1"/>
      <w:numFmt w:val="bullet"/>
      <w:lvlText w:val="o"/>
      <w:lvlJc w:val="left"/>
      <w:pPr>
        <w:ind w:left="6220" w:hanging="360"/>
      </w:pPr>
      <w:rPr>
        <w:rFonts w:hint="default" w:ascii="Courier New" w:hAnsi="Courier New" w:cs="Courier New"/>
      </w:rPr>
    </w:lvl>
    <w:lvl w:ilvl="8" w:tplc="08090005" w:tentative="1">
      <w:start w:val="1"/>
      <w:numFmt w:val="bullet"/>
      <w:lvlText w:val=""/>
      <w:lvlJc w:val="left"/>
      <w:pPr>
        <w:ind w:left="6940" w:hanging="360"/>
      </w:pPr>
      <w:rPr>
        <w:rFonts w:hint="default" w:ascii="Wingdings" w:hAnsi="Wingdings"/>
      </w:rPr>
    </w:lvl>
  </w:abstractNum>
  <w:abstractNum w:abstractNumId="2" w15:restartNumberingAfterBreak="0">
    <w:nsid w:val="1780436D"/>
    <w:multiLevelType w:val="hybridMultilevel"/>
    <w:tmpl w:val="FF50457A"/>
    <w:lvl w:ilvl="0" w:tplc="08090001">
      <w:start w:val="1"/>
      <w:numFmt w:val="bullet"/>
      <w:lvlText w:val=""/>
      <w:lvlJc w:val="left"/>
      <w:pPr>
        <w:ind w:left="1180" w:hanging="360"/>
      </w:pPr>
      <w:rPr>
        <w:rFonts w:hint="default" w:ascii="Symbol" w:hAnsi="Symbol"/>
      </w:rPr>
    </w:lvl>
    <w:lvl w:ilvl="1" w:tplc="08090003" w:tentative="1">
      <w:start w:val="1"/>
      <w:numFmt w:val="bullet"/>
      <w:lvlText w:val="o"/>
      <w:lvlJc w:val="left"/>
      <w:pPr>
        <w:ind w:left="1900" w:hanging="360"/>
      </w:pPr>
      <w:rPr>
        <w:rFonts w:hint="default" w:ascii="Courier New" w:hAnsi="Courier New" w:cs="Courier New"/>
      </w:rPr>
    </w:lvl>
    <w:lvl w:ilvl="2" w:tplc="08090005" w:tentative="1">
      <w:start w:val="1"/>
      <w:numFmt w:val="bullet"/>
      <w:lvlText w:val=""/>
      <w:lvlJc w:val="left"/>
      <w:pPr>
        <w:ind w:left="2620" w:hanging="360"/>
      </w:pPr>
      <w:rPr>
        <w:rFonts w:hint="default" w:ascii="Wingdings" w:hAnsi="Wingdings"/>
      </w:rPr>
    </w:lvl>
    <w:lvl w:ilvl="3" w:tplc="08090001" w:tentative="1">
      <w:start w:val="1"/>
      <w:numFmt w:val="bullet"/>
      <w:lvlText w:val=""/>
      <w:lvlJc w:val="left"/>
      <w:pPr>
        <w:ind w:left="3340" w:hanging="360"/>
      </w:pPr>
      <w:rPr>
        <w:rFonts w:hint="default" w:ascii="Symbol" w:hAnsi="Symbol"/>
      </w:rPr>
    </w:lvl>
    <w:lvl w:ilvl="4" w:tplc="08090003" w:tentative="1">
      <w:start w:val="1"/>
      <w:numFmt w:val="bullet"/>
      <w:lvlText w:val="o"/>
      <w:lvlJc w:val="left"/>
      <w:pPr>
        <w:ind w:left="4060" w:hanging="360"/>
      </w:pPr>
      <w:rPr>
        <w:rFonts w:hint="default" w:ascii="Courier New" w:hAnsi="Courier New" w:cs="Courier New"/>
      </w:rPr>
    </w:lvl>
    <w:lvl w:ilvl="5" w:tplc="08090005" w:tentative="1">
      <w:start w:val="1"/>
      <w:numFmt w:val="bullet"/>
      <w:lvlText w:val=""/>
      <w:lvlJc w:val="left"/>
      <w:pPr>
        <w:ind w:left="4780" w:hanging="360"/>
      </w:pPr>
      <w:rPr>
        <w:rFonts w:hint="default" w:ascii="Wingdings" w:hAnsi="Wingdings"/>
      </w:rPr>
    </w:lvl>
    <w:lvl w:ilvl="6" w:tplc="08090001" w:tentative="1">
      <w:start w:val="1"/>
      <w:numFmt w:val="bullet"/>
      <w:lvlText w:val=""/>
      <w:lvlJc w:val="left"/>
      <w:pPr>
        <w:ind w:left="5500" w:hanging="360"/>
      </w:pPr>
      <w:rPr>
        <w:rFonts w:hint="default" w:ascii="Symbol" w:hAnsi="Symbol"/>
      </w:rPr>
    </w:lvl>
    <w:lvl w:ilvl="7" w:tplc="08090003" w:tentative="1">
      <w:start w:val="1"/>
      <w:numFmt w:val="bullet"/>
      <w:lvlText w:val="o"/>
      <w:lvlJc w:val="left"/>
      <w:pPr>
        <w:ind w:left="6220" w:hanging="360"/>
      </w:pPr>
      <w:rPr>
        <w:rFonts w:hint="default" w:ascii="Courier New" w:hAnsi="Courier New" w:cs="Courier New"/>
      </w:rPr>
    </w:lvl>
    <w:lvl w:ilvl="8" w:tplc="08090005" w:tentative="1">
      <w:start w:val="1"/>
      <w:numFmt w:val="bullet"/>
      <w:lvlText w:val=""/>
      <w:lvlJc w:val="left"/>
      <w:pPr>
        <w:ind w:left="6940" w:hanging="360"/>
      </w:pPr>
      <w:rPr>
        <w:rFonts w:hint="default" w:ascii="Wingdings" w:hAnsi="Wingdings"/>
      </w:rPr>
    </w:lvl>
  </w:abstractNum>
  <w:abstractNum w:abstractNumId="3" w15:restartNumberingAfterBreak="0">
    <w:nsid w:val="19CD1100"/>
    <w:multiLevelType w:val="hybridMultilevel"/>
    <w:tmpl w:val="5E1CD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957AAB"/>
    <w:multiLevelType w:val="hybridMultilevel"/>
    <w:tmpl w:val="AAD42AB8"/>
    <w:lvl w:ilvl="0" w:tplc="08090001">
      <w:start w:val="1"/>
      <w:numFmt w:val="bullet"/>
      <w:lvlText w:val=""/>
      <w:lvlJc w:val="left"/>
      <w:pPr>
        <w:ind w:left="1180" w:hanging="360"/>
      </w:pPr>
      <w:rPr>
        <w:rFonts w:hint="default" w:ascii="Symbol" w:hAnsi="Symbol"/>
      </w:rPr>
    </w:lvl>
    <w:lvl w:ilvl="1" w:tplc="08090003" w:tentative="1">
      <w:start w:val="1"/>
      <w:numFmt w:val="bullet"/>
      <w:lvlText w:val="o"/>
      <w:lvlJc w:val="left"/>
      <w:pPr>
        <w:ind w:left="1900" w:hanging="360"/>
      </w:pPr>
      <w:rPr>
        <w:rFonts w:hint="default" w:ascii="Courier New" w:hAnsi="Courier New" w:cs="Courier New"/>
      </w:rPr>
    </w:lvl>
    <w:lvl w:ilvl="2" w:tplc="08090005" w:tentative="1">
      <w:start w:val="1"/>
      <w:numFmt w:val="bullet"/>
      <w:lvlText w:val=""/>
      <w:lvlJc w:val="left"/>
      <w:pPr>
        <w:ind w:left="2620" w:hanging="360"/>
      </w:pPr>
      <w:rPr>
        <w:rFonts w:hint="default" w:ascii="Wingdings" w:hAnsi="Wingdings"/>
      </w:rPr>
    </w:lvl>
    <w:lvl w:ilvl="3" w:tplc="08090001" w:tentative="1">
      <w:start w:val="1"/>
      <w:numFmt w:val="bullet"/>
      <w:lvlText w:val=""/>
      <w:lvlJc w:val="left"/>
      <w:pPr>
        <w:ind w:left="3340" w:hanging="360"/>
      </w:pPr>
      <w:rPr>
        <w:rFonts w:hint="default" w:ascii="Symbol" w:hAnsi="Symbol"/>
      </w:rPr>
    </w:lvl>
    <w:lvl w:ilvl="4" w:tplc="08090003" w:tentative="1">
      <w:start w:val="1"/>
      <w:numFmt w:val="bullet"/>
      <w:lvlText w:val="o"/>
      <w:lvlJc w:val="left"/>
      <w:pPr>
        <w:ind w:left="4060" w:hanging="360"/>
      </w:pPr>
      <w:rPr>
        <w:rFonts w:hint="default" w:ascii="Courier New" w:hAnsi="Courier New" w:cs="Courier New"/>
      </w:rPr>
    </w:lvl>
    <w:lvl w:ilvl="5" w:tplc="08090005" w:tentative="1">
      <w:start w:val="1"/>
      <w:numFmt w:val="bullet"/>
      <w:lvlText w:val=""/>
      <w:lvlJc w:val="left"/>
      <w:pPr>
        <w:ind w:left="4780" w:hanging="360"/>
      </w:pPr>
      <w:rPr>
        <w:rFonts w:hint="default" w:ascii="Wingdings" w:hAnsi="Wingdings"/>
      </w:rPr>
    </w:lvl>
    <w:lvl w:ilvl="6" w:tplc="08090001" w:tentative="1">
      <w:start w:val="1"/>
      <w:numFmt w:val="bullet"/>
      <w:lvlText w:val=""/>
      <w:lvlJc w:val="left"/>
      <w:pPr>
        <w:ind w:left="5500" w:hanging="360"/>
      </w:pPr>
      <w:rPr>
        <w:rFonts w:hint="default" w:ascii="Symbol" w:hAnsi="Symbol"/>
      </w:rPr>
    </w:lvl>
    <w:lvl w:ilvl="7" w:tplc="08090003" w:tentative="1">
      <w:start w:val="1"/>
      <w:numFmt w:val="bullet"/>
      <w:lvlText w:val="o"/>
      <w:lvlJc w:val="left"/>
      <w:pPr>
        <w:ind w:left="6220" w:hanging="360"/>
      </w:pPr>
      <w:rPr>
        <w:rFonts w:hint="default" w:ascii="Courier New" w:hAnsi="Courier New" w:cs="Courier New"/>
      </w:rPr>
    </w:lvl>
    <w:lvl w:ilvl="8" w:tplc="08090005" w:tentative="1">
      <w:start w:val="1"/>
      <w:numFmt w:val="bullet"/>
      <w:lvlText w:val=""/>
      <w:lvlJc w:val="left"/>
      <w:pPr>
        <w:ind w:left="6940" w:hanging="360"/>
      </w:pPr>
      <w:rPr>
        <w:rFonts w:hint="default" w:ascii="Wingdings" w:hAnsi="Wingdings"/>
      </w:rPr>
    </w:lvl>
  </w:abstractNum>
  <w:abstractNum w:abstractNumId="5" w15:restartNumberingAfterBreak="0">
    <w:nsid w:val="4F681158"/>
    <w:multiLevelType w:val="hybridMultilevel"/>
    <w:tmpl w:val="1F043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C10157"/>
    <w:multiLevelType w:val="hybridMultilevel"/>
    <w:tmpl w:val="3B1295DC"/>
    <w:lvl w:ilvl="0" w:tplc="08090001">
      <w:start w:val="1"/>
      <w:numFmt w:val="bullet"/>
      <w:lvlText w:val=""/>
      <w:lvlJc w:val="left"/>
      <w:pPr>
        <w:ind w:left="1180" w:hanging="360"/>
      </w:pPr>
      <w:rPr>
        <w:rFonts w:hint="default" w:ascii="Symbol" w:hAnsi="Symbol"/>
      </w:rPr>
    </w:lvl>
    <w:lvl w:ilvl="1" w:tplc="08090003" w:tentative="1">
      <w:start w:val="1"/>
      <w:numFmt w:val="bullet"/>
      <w:lvlText w:val="o"/>
      <w:lvlJc w:val="left"/>
      <w:pPr>
        <w:ind w:left="1900" w:hanging="360"/>
      </w:pPr>
      <w:rPr>
        <w:rFonts w:hint="default" w:ascii="Courier New" w:hAnsi="Courier New" w:cs="Courier New"/>
      </w:rPr>
    </w:lvl>
    <w:lvl w:ilvl="2" w:tplc="08090005" w:tentative="1">
      <w:start w:val="1"/>
      <w:numFmt w:val="bullet"/>
      <w:lvlText w:val=""/>
      <w:lvlJc w:val="left"/>
      <w:pPr>
        <w:ind w:left="2620" w:hanging="360"/>
      </w:pPr>
      <w:rPr>
        <w:rFonts w:hint="default" w:ascii="Wingdings" w:hAnsi="Wingdings"/>
      </w:rPr>
    </w:lvl>
    <w:lvl w:ilvl="3" w:tplc="08090001" w:tentative="1">
      <w:start w:val="1"/>
      <w:numFmt w:val="bullet"/>
      <w:lvlText w:val=""/>
      <w:lvlJc w:val="left"/>
      <w:pPr>
        <w:ind w:left="3340" w:hanging="360"/>
      </w:pPr>
      <w:rPr>
        <w:rFonts w:hint="default" w:ascii="Symbol" w:hAnsi="Symbol"/>
      </w:rPr>
    </w:lvl>
    <w:lvl w:ilvl="4" w:tplc="08090003" w:tentative="1">
      <w:start w:val="1"/>
      <w:numFmt w:val="bullet"/>
      <w:lvlText w:val="o"/>
      <w:lvlJc w:val="left"/>
      <w:pPr>
        <w:ind w:left="4060" w:hanging="360"/>
      </w:pPr>
      <w:rPr>
        <w:rFonts w:hint="default" w:ascii="Courier New" w:hAnsi="Courier New" w:cs="Courier New"/>
      </w:rPr>
    </w:lvl>
    <w:lvl w:ilvl="5" w:tplc="08090005" w:tentative="1">
      <w:start w:val="1"/>
      <w:numFmt w:val="bullet"/>
      <w:lvlText w:val=""/>
      <w:lvlJc w:val="left"/>
      <w:pPr>
        <w:ind w:left="4780" w:hanging="360"/>
      </w:pPr>
      <w:rPr>
        <w:rFonts w:hint="default" w:ascii="Wingdings" w:hAnsi="Wingdings"/>
      </w:rPr>
    </w:lvl>
    <w:lvl w:ilvl="6" w:tplc="08090001" w:tentative="1">
      <w:start w:val="1"/>
      <w:numFmt w:val="bullet"/>
      <w:lvlText w:val=""/>
      <w:lvlJc w:val="left"/>
      <w:pPr>
        <w:ind w:left="5500" w:hanging="360"/>
      </w:pPr>
      <w:rPr>
        <w:rFonts w:hint="default" w:ascii="Symbol" w:hAnsi="Symbol"/>
      </w:rPr>
    </w:lvl>
    <w:lvl w:ilvl="7" w:tplc="08090003" w:tentative="1">
      <w:start w:val="1"/>
      <w:numFmt w:val="bullet"/>
      <w:lvlText w:val="o"/>
      <w:lvlJc w:val="left"/>
      <w:pPr>
        <w:ind w:left="6220" w:hanging="360"/>
      </w:pPr>
      <w:rPr>
        <w:rFonts w:hint="default" w:ascii="Courier New" w:hAnsi="Courier New" w:cs="Courier New"/>
      </w:rPr>
    </w:lvl>
    <w:lvl w:ilvl="8" w:tplc="08090005" w:tentative="1">
      <w:start w:val="1"/>
      <w:numFmt w:val="bullet"/>
      <w:lvlText w:val=""/>
      <w:lvlJc w:val="left"/>
      <w:pPr>
        <w:ind w:left="6940" w:hanging="360"/>
      </w:pPr>
      <w:rPr>
        <w:rFonts w:hint="default" w:ascii="Wingdings" w:hAnsi="Wingdings"/>
      </w:rPr>
    </w:lvl>
  </w:abstractNum>
  <w:abstractNum w:abstractNumId="7" w15:restartNumberingAfterBreak="0">
    <w:nsid w:val="6A8719F0"/>
    <w:multiLevelType w:val="hybridMultilevel"/>
    <w:tmpl w:val="D6D2ED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7035675">
    <w:abstractNumId w:val="7"/>
  </w:num>
  <w:num w:numId="2" w16cid:durableId="515971703">
    <w:abstractNumId w:val="3"/>
  </w:num>
  <w:num w:numId="3" w16cid:durableId="942568484">
    <w:abstractNumId w:val="6"/>
  </w:num>
  <w:num w:numId="4" w16cid:durableId="2118257140">
    <w:abstractNumId w:val="2"/>
  </w:num>
  <w:num w:numId="5" w16cid:durableId="2000187951">
    <w:abstractNumId w:val="4"/>
  </w:num>
  <w:num w:numId="6" w16cid:durableId="953441566">
    <w:abstractNumId w:val="1"/>
  </w:num>
  <w:num w:numId="7" w16cid:durableId="494345584">
    <w:abstractNumId w:val="0"/>
  </w:num>
  <w:num w:numId="8" w16cid:durableId="71250859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17"/>
    <w:rsid w:val="000D2FFC"/>
    <w:rsid w:val="003B0319"/>
    <w:rsid w:val="003C1C17"/>
    <w:rsid w:val="004F0D07"/>
    <w:rsid w:val="00565958"/>
    <w:rsid w:val="00627C4A"/>
    <w:rsid w:val="00841639"/>
    <w:rsid w:val="00C71F3A"/>
    <w:rsid w:val="00CD70FD"/>
    <w:rsid w:val="00D519E1"/>
    <w:rsid w:val="27B8ACC5"/>
    <w:rsid w:val="54D0919B"/>
    <w:rsid w:val="59C4E70C"/>
    <w:rsid w:val="6345C756"/>
    <w:rsid w:val="736986D5"/>
    <w:rsid w:val="7C76A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ABCB"/>
  <w15:chartTrackingRefBased/>
  <w15:docId w15:val="{C0A27FF6-A9AC-402C-AA83-ED79CF7A6E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200" w:line="276" w:lineRule="auto"/>
    </w:pPr>
    <w:rPr>
      <w:rFonts w:asciiTheme="minorHAnsi" w:hAnsiTheme="minorHAnsi" w:eastAsiaTheme="minorHAnsi" w:cstheme="minorBidi"/>
      <w:sz w:val="22"/>
      <w:szCs w:val="22"/>
      <w:lang w:eastAsia="en-US"/>
    </w:rPr>
  </w:style>
  <w:style w:type="paragraph" w:styleId="Heading1">
    <w:name w:val="heading 1"/>
    <w:basedOn w:val="Normal"/>
    <w:next w:val="Normal"/>
    <w:link w:val="Heading1Char"/>
    <w:qFormat/>
    <w:rsid w:val="00627C4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widowControl w:val="0"/>
      <w:autoSpaceDE w:val="0"/>
      <w:autoSpaceDN w:val="0"/>
      <w:adjustRightInd w:val="0"/>
      <w:spacing w:before="126" w:after="0" w:line="240" w:lineRule="auto"/>
      <w:ind w:left="820" w:hanging="360"/>
    </w:pPr>
    <w:rPr>
      <w:rFonts w:ascii="Arial" w:hAnsi="Arial" w:cs="Arial" w:eastAsiaTheme="minorEastAsia"/>
      <w:lang w:eastAsia="en-GB"/>
    </w:rPr>
  </w:style>
  <w:style w:type="character" w:styleId="BodyTextChar" w:customStyle="1">
    <w:name w:val="Body Text Char"/>
    <w:basedOn w:val="DefaultParagraphFont"/>
    <w:link w:val="BodyText"/>
    <w:uiPriority w:val="1"/>
    <w:rPr>
      <w:rFonts w:ascii="Arial" w:hAnsi="Arial" w:cs="Arial" w:eastAsiaTheme="minorEastAsia"/>
      <w:sz w:val="22"/>
      <w:szCs w:val="22"/>
    </w:rPr>
  </w:style>
  <w:style w:type="paragraph" w:styleId="ListParagraph">
    <w:name w:val="List Paragraph"/>
    <w:basedOn w:val="Normal"/>
    <w:uiPriority w:val="34"/>
    <w:qFormat/>
    <w:rsid w:val="00D519E1"/>
    <w:pPr>
      <w:ind w:left="720"/>
      <w:contextualSpacing/>
    </w:pPr>
  </w:style>
  <w:style w:type="character" w:styleId="Emphasis">
    <w:name w:val="Emphasis"/>
    <w:basedOn w:val="DefaultParagraphFont"/>
    <w:qFormat/>
    <w:rsid w:val="00627C4A"/>
    <w:rPr>
      <w:i/>
      <w:iCs/>
    </w:rPr>
  </w:style>
  <w:style w:type="character" w:styleId="Heading1Char" w:customStyle="1">
    <w:name w:val="Heading 1 Char"/>
    <w:basedOn w:val="DefaultParagraphFont"/>
    <w:link w:val="Heading1"/>
    <w:rsid w:val="00627C4A"/>
    <w:rPr>
      <w:rFonts w:asciiTheme="majorHAnsi" w:hAnsiTheme="majorHAnsi" w:eastAsiaTheme="majorEastAsia" w:cstheme="majorBidi"/>
      <w:color w:val="2E74B5" w:themeColor="accent1" w:themeShade="BF"/>
      <w:sz w:val="32"/>
      <w:szCs w:val="32"/>
      <w:lang w:eastAsia="en-US"/>
    </w:rPr>
  </w:style>
  <w:style w:type="character" w:styleId="Strong">
    <w:name w:val="Strong"/>
    <w:basedOn w:val="DefaultParagraphFont"/>
    <w:qFormat/>
    <w:rsid w:val="00627C4A"/>
    <w:rPr>
      <w:b/>
      <w:bCs/>
    </w:rPr>
  </w:style>
  <w:style w:type="paragraph" w:styleId="Subtitle">
    <w:name w:val="Subtitle"/>
    <w:basedOn w:val="Normal"/>
    <w:next w:val="Normal"/>
    <w:link w:val="SubtitleChar"/>
    <w:qFormat/>
    <w:rsid w:val="00627C4A"/>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rsid w:val="00627C4A"/>
    <w:rPr>
      <w:rFonts w:asciiTheme="minorHAnsi" w:hAnsiTheme="minorHAnsi" w:eastAsiaTheme="minorEastAsia"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jpeg" Id="rId10"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36129BF00544C90D16A3443EF5BF0" ma:contentTypeVersion="1" ma:contentTypeDescription="Create a new document." ma:contentTypeScope="" ma:versionID="6e05c9bb3eaf7a056b5ca36aa9073f2a">
  <xsd:schema xmlns:xsd="http://www.w3.org/2001/XMLSchema" xmlns:xs="http://www.w3.org/2001/XMLSchema" xmlns:p="http://schemas.microsoft.com/office/2006/metadata/properties" xmlns:ns2="017db0d0-45b8-4c26-9f19-b22369b84f3d" xmlns:ns3="afa75c61-129a-4691-8a1f-28ead05c9509" targetNamespace="http://schemas.microsoft.com/office/2006/metadata/properties" ma:root="true" ma:fieldsID="7ea8194d0b0b9f150f1171c3146ec9c7" ns2:_="" ns3:_="">
    <xsd:import namespace="017db0d0-45b8-4c26-9f19-b22369b84f3d"/>
    <xsd:import namespace="afa75c61-129a-4691-8a1f-28ead05c95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db0d0-45b8-4c26-9f19-b22369b84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75c61-129a-4691-8a1f-28ead05c95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bfa9e63f-38b5-44f0-99be-6d5ad9de4da3" ContentTypeId="0x01010061E2F3301007B04CA4625228C85E58A2" PreviousValue="false"/>
</file>

<file path=customXml/itemProps1.xml><?xml version="1.0" encoding="utf-8"?>
<ds:datastoreItem xmlns:ds="http://schemas.openxmlformats.org/officeDocument/2006/customXml" ds:itemID="{B3671E97-1DA7-46A0-8098-12DF270960FE}"/>
</file>

<file path=customXml/itemProps2.xml><?xml version="1.0" encoding="utf-8"?>
<ds:datastoreItem xmlns:ds="http://schemas.openxmlformats.org/officeDocument/2006/customXml" ds:itemID="{266FC8C1-A13D-4055-874B-69C042E9FCF0}">
  <ds:schemaRefs>
    <ds:schemaRef ds:uri="http://schemas.microsoft.com/sharepoint/v3/contenttype/forms"/>
  </ds:schemaRefs>
</ds:datastoreItem>
</file>

<file path=customXml/itemProps3.xml><?xml version="1.0" encoding="utf-8"?>
<ds:datastoreItem xmlns:ds="http://schemas.openxmlformats.org/officeDocument/2006/customXml" ds:itemID="{76ABD76E-F6D7-407A-BE12-81BD137BE96C}">
  <ds:schemaRef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e842335a-1790-4a2f-ab50-299d48eed702"/>
    <ds:schemaRef ds:uri="http://schemas.microsoft.com/office/2006/metadata/properties"/>
    <ds:schemaRef ds:uri="http://schemas.microsoft.com/sharepoint/v3/fields"/>
    <ds:schemaRef ds:uri="http://purl.org/dc/terms/"/>
  </ds:schemaRefs>
</ds:datastoreItem>
</file>

<file path=customXml/itemProps4.xml><?xml version="1.0" encoding="utf-8"?>
<ds:datastoreItem xmlns:ds="http://schemas.openxmlformats.org/officeDocument/2006/customXml" ds:itemID="{EA244E19-93CB-4E7B-944A-FF6CC460314C}">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ALphaPlusGroup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EAL policy</dc:title>
  <dc:subject/>
  <dc:creator>Jonathan Pratt</dc:creator>
  <keywords/>
  <dc:description/>
  <lastModifiedBy>Hema Malneedi</lastModifiedBy>
  <revision>7</revision>
  <dcterms:created xsi:type="dcterms:W3CDTF">2023-06-29T13:56:00.0000000Z</dcterms:created>
  <dcterms:modified xsi:type="dcterms:W3CDTF">2025-06-16T08:58:25.5624208Z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0x0101007D036129BF00544C90D16A3443EF5BF0</vt:lpwstr>
  </property>
  <property fmtid="{D5CDD505-2E9C-101B-9397-08002B2CF9AE}" pid="3" name="_UIVersionString">
    <vt:lpwstr/>
  </property>
  <property fmtid="{D5CDD505-2E9C-101B-9397-08002B2CF9AE}" pid="4" name="Order">
    <vt:r8>20800</vt:r8>
  </property>
</Properties>
</file>